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kern w:val="0"/>
          <w:sz w:val="24"/>
          <w:szCs w:val="24"/>
        </w:rPr>
      </w:pPr>
      <w:bookmarkStart w:id="0" w:name="_GoBack"/>
      <w:bookmarkEnd w:id="0"/>
      <w:r>
        <w:rPr>
          <w:rFonts w:hint="eastAsia" w:ascii="Microsoft YaHei UI" w:hAnsi="Microsoft YaHei UI" w:eastAsia="Microsoft YaHei UI" w:cs="宋体"/>
          <w:b/>
          <w:bCs/>
          <w:color w:val="F57F17"/>
          <w:kern w:val="0"/>
          <w:sz w:val="30"/>
          <w:szCs w:val="30"/>
        </w:rPr>
        <w:t>2022年度个人所得税综合所得</w:t>
      </w:r>
    </w:p>
    <w:p>
      <w:pPr>
        <w:widowControl/>
        <w:jc w:val="center"/>
        <w:rPr>
          <w:rFonts w:ascii="宋体" w:hAnsi="宋体" w:eastAsia="宋体" w:cs="宋体"/>
          <w:kern w:val="0"/>
          <w:sz w:val="24"/>
          <w:szCs w:val="24"/>
        </w:rPr>
      </w:pPr>
      <w:r>
        <w:rPr>
          <w:rFonts w:hint="eastAsia" w:ascii="Microsoft YaHei UI" w:hAnsi="Microsoft YaHei UI" w:eastAsia="Microsoft YaHei UI" w:cs="宋体"/>
          <w:b/>
          <w:bCs/>
          <w:color w:val="F57F17"/>
          <w:kern w:val="0"/>
          <w:sz w:val="30"/>
          <w:szCs w:val="30"/>
        </w:rPr>
        <w:t>年度汇算已经</w:t>
      </w:r>
      <w:r>
        <w:rPr>
          <w:rFonts w:ascii="PingFangTC-light" w:hAnsi="PingFangTC-light" w:eastAsia="Microsoft YaHei UI" w:cs="宋体"/>
          <w:b/>
          <w:bCs/>
          <w:color w:val="F57F17"/>
          <w:kern w:val="0"/>
          <w:sz w:val="30"/>
          <w:szCs w:val="30"/>
        </w:rPr>
        <w:t>开始啦！</w:t>
      </w:r>
    </w:p>
    <w:p>
      <w:pPr>
        <w:widowControl/>
        <w:jc w:val="left"/>
        <w:rPr>
          <w:rFonts w:ascii="宋体" w:hAnsi="宋体" w:eastAsia="宋体" w:cs="宋体"/>
          <w:kern w:val="0"/>
          <w:sz w:val="24"/>
          <w:szCs w:val="24"/>
        </w:rPr>
      </w:pPr>
    </w:p>
    <w:p>
      <w:pPr>
        <w:widowControl/>
        <w:jc w:val="left"/>
        <w:rPr>
          <w:rFonts w:ascii="宋体" w:hAnsi="宋体" w:eastAsia="宋体" w:cs="宋体"/>
          <w:b/>
          <w:bCs/>
          <w:kern w:val="0"/>
          <w:sz w:val="24"/>
          <w:szCs w:val="24"/>
        </w:rPr>
      </w:pPr>
      <w:r>
        <w:rPr>
          <w:rFonts w:ascii="宋体" w:hAnsi="宋体" w:eastAsia="宋体" w:cs="宋体"/>
          <w:b/>
          <w:bCs/>
          <w:kern w:val="0"/>
          <w:sz w:val="24"/>
          <w:szCs w:val="24"/>
        </w:rPr>
        <w:t xml:space="preserve">第一步:  </w:t>
      </w:r>
      <w:r>
        <w:rPr>
          <w:rFonts w:hint="eastAsia" w:ascii="宋体" w:hAnsi="宋体" w:eastAsia="宋体" w:cs="宋体"/>
          <w:b/>
          <w:bCs/>
          <w:kern w:val="0"/>
          <w:sz w:val="24"/>
          <w:szCs w:val="24"/>
        </w:rPr>
        <w:t>下载“个人所得税”A</w:t>
      </w:r>
      <w:r>
        <w:rPr>
          <w:rFonts w:ascii="宋体" w:hAnsi="宋体" w:eastAsia="宋体" w:cs="宋体"/>
          <w:b/>
          <w:bCs/>
          <w:kern w:val="0"/>
          <w:sz w:val="24"/>
          <w:szCs w:val="24"/>
        </w:rPr>
        <w:t>PP</w:t>
      </w:r>
    </w:p>
    <w:p>
      <w:pPr>
        <w:widowControl/>
        <w:jc w:val="left"/>
        <w:rPr>
          <w:rFonts w:hint="eastAsia" w:ascii="宋体" w:hAnsi="宋体" w:eastAsia="宋体" w:cs="宋体"/>
          <w:b/>
          <w:bCs/>
          <w:kern w:val="0"/>
          <w:sz w:val="24"/>
          <w:szCs w:val="24"/>
        </w:rPr>
      </w:pPr>
      <w:r>
        <w:rPr>
          <w:rFonts w:ascii="宋体" w:hAnsi="宋体" w:eastAsia="宋体" w:cs="宋体"/>
          <w:b/>
          <w:bCs/>
          <w:kern w:val="0"/>
          <w:sz w:val="24"/>
          <w:szCs w:val="24"/>
        </w:rPr>
        <w:drawing>
          <wp:inline distT="0" distB="0" distL="0" distR="0">
            <wp:extent cx="996315" cy="990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7331" cy="1030901"/>
                    </a:xfrm>
                    <a:prstGeom prst="rect">
                      <a:avLst/>
                    </a:prstGeom>
                  </pic:spPr>
                </pic:pic>
              </a:graphicData>
            </a:graphic>
          </wp:inline>
        </w:drawing>
      </w:r>
    </w:p>
    <w:p>
      <w:pPr>
        <w:widowControl/>
        <w:jc w:val="left"/>
        <w:rPr>
          <w:rFonts w:ascii="宋体" w:hAnsi="宋体" w:eastAsia="宋体" w:cs="宋体"/>
          <w:b/>
          <w:bCs/>
          <w:kern w:val="0"/>
          <w:sz w:val="24"/>
          <w:szCs w:val="24"/>
        </w:rPr>
      </w:pPr>
    </w:p>
    <w:p>
      <w:pPr>
        <w:widowControl/>
        <w:jc w:val="left"/>
        <w:rPr>
          <w:rFonts w:hint="eastAsia" w:ascii="宋体" w:hAnsi="宋体" w:eastAsia="宋体" w:cs="宋体"/>
          <w:b/>
          <w:kern w:val="0"/>
          <w:sz w:val="24"/>
          <w:szCs w:val="24"/>
        </w:rPr>
      </w:pPr>
      <w:r>
        <w:rPr>
          <w:rFonts w:hint="eastAsia" w:ascii="宋体" w:hAnsi="宋体" w:eastAsia="宋体" w:cs="宋体"/>
          <w:b/>
          <w:kern w:val="0"/>
          <w:sz w:val="24"/>
          <w:szCs w:val="24"/>
        </w:rPr>
        <w:t>第二步：</w:t>
      </w:r>
    </w:p>
    <w:p>
      <w:pPr>
        <w:widowControl/>
        <w:jc w:val="left"/>
        <w:rPr>
          <w:rFonts w:ascii="宋体" w:hAnsi="宋体" w:eastAsia="宋体" w:cs="宋体"/>
          <w:kern w:val="0"/>
          <w:sz w:val="24"/>
          <w:szCs w:val="24"/>
        </w:rPr>
      </w:pPr>
      <w:r>
        <w:rPr>
          <w:rFonts w:ascii="宋体" w:hAnsi="宋体" w:eastAsia="宋体" w:cs="宋体"/>
          <w:b/>
          <w:bCs/>
          <w:kern w:val="0"/>
          <w:sz w:val="24"/>
          <w:szCs w:val="24"/>
        </w:rPr>
        <w:t>进入综合所得年度汇算</w:t>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01</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点击首页中间“2022综合所得年度汇算”下方的【开始申报】可直达“选择填报方式”页面。或点击最上方“2022综合所得年度汇算”专题【进入】→【开始申报】也可进入。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142615" cy="5029200"/>
            <wp:effectExtent l="0" t="0" r="635"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171029" cy="5074126"/>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b/>
          <w:bCs/>
          <w:i/>
          <w:iCs/>
          <w:kern w:val="0"/>
          <w:sz w:val="24"/>
          <w:szCs w:val="24"/>
        </w:rPr>
        <w:t>02</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 进入“选择填报方式”页面，选择一种填报方式，点击【开始申报】；</w:t>
      </w:r>
    </w:p>
    <w:p>
      <w:pPr>
        <w:widowControl/>
        <w:jc w:val="left"/>
        <w:rPr>
          <w:rFonts w:ascii="宋体" w:hAnsi="宋体" w:eastAsia="宋体" w:cs="宋体"/>
          <w:kern w:val="0"/>
          <w:sz w:val="24"/>
          <w:szCs w:val="24"/>
        </w:rPr>
      </w:pPr>
      <w:r>
        <w:rPr>
          <w:rFonts w:ascii="宋体" w:hAnsi="宋体" w:eastAsia="宋体" w:cs="宋体"/>
          <w:b/>
          <w:bCs/>
          <w:color w:val="F57F17"/>
          <w:kern w:val="0"/>
          <w:sz w:val="24"/>
          <w:szCs w:val="24"/>
        </w:rPr>
        <w:t> 提示：建议选择系统推荐的预填服务方式。</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29025" cy="5375910"/>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42020" cy="539545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03</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 进入“标准申报须知”页面，提示内容阅读完毕后，点击【我已阅读并知晓】。</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419475" cy="4472305"/>
            <wp:effectExtent l="0" t="0" r="0" b="4445"/>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44250" cy="4505229"/>
                    </a:xfrm>
                    <a:prstGeom prst="rect">
                      <a:avLst/>
                    </a:prstGeom>
                    <a:noFill/>
                    <a:ln>
                      <a:noFill/>
                    </a:ln>
                  </pic:spPr>
                </pic:pic>
              </a:graphicData>
            </a:graphic>
          </wp:inline>
        </w:drawing>
      </w:r>
    </w:p>
    <w:p>
      <w:pPr>
        <w:widowControl/>
        <w:jc w:val="left"/>
        <w:rPr>
          <w:rFonts w:ascii="宋体" w:hAnsi="宋体" w:eastAsia="宋体" w:cs="宋体"/>
          <w:b/>
          <w:bCs/>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w:t>
      </w:r>
      <w:r>
        <w:rPr>
          <w:rFonts w:hint="eastAsia" w:ascii="宋体" w:hAnsi="宋体" w:eastAsia="宋体" w:cs="宋体"/>
          <w:b/>
          <w:bCs/>
          <w:kern w:val="0"/>
          <w:sz w:val="24"/>
          <w:szCs w:val="24"/>
        </w:rPr>
        <w:t>三</w:t>
      </w:r>
      <w:r>
        <w:rPr>
          <w:rFonts w:ascii="宋体" w:hAnsi="宋体" w:eastAsia="宋体" w:cs="宋体"/>
          <w:b/>
          <w:bCs/>
          <w:kern w:val="0"/>
          <w:sz w:val="24"/>
          <w:szCs w:val="24"/>
        </w:rPr>
        <w:t>步</w:t>
      </w:r>
    </w:p>
    <w:p>
      <w:pPr>
        <w:widowControl/>
        <w:jc w:val="left"/>
        <w:rPr>
          <w:rFonts w:ascii="宋体" w:hAnsi="宋体" w:eastAsia="宋体" w:cs="宋体"/>
          <w:kern w:val="0"/>
          <w:sz w:val="24"/>
          <w:szCs w:val="24"/>
        </w:rPr>
      </w:pPr>
      <w:r>
        <w:rPr>
          <w:rFonts w:ascii="宋体" w:hAnsi="宋体" w:eastAsia="宋体" w:cs="宋体"/>
          <w:b/>
          <w:bCs/>
          <w:kern w:val="0"/>
          <w:sz w:val="24"/>
          <w:szCs w:val="24"/>
        </w:rPr>
        <w:t>基本信息核对</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进入“基本信息”页面，核对个人基础信息、汇缴地，信息确认无误后，点击【下一步】。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486785" cy="3000375"/>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19778" cy="3028431"/>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第</w:t>
      </w:r>
      <w:r>
        <w:rPr>
          <w:rFonts w:hint="eastAsia" w:ascii="宋体" w:hAnsi="宋体" w:eastAsia="宋体" w:cs="宋体"/>
          <w:b/>
          <w:bCs/>
          <w:kern w:val="0"/>
          <w:sz w:val="24"/>
          <w:szCs w:val="24"/>
        </w:rPr>
        <w:t>四</w:t>
      </w:r>
      <w:r>
        <w:rPr>
          <w:rFonts w:ascii="宋体" w:hAnsi="宋体" w:eastAsia="宋体" w:cs="宋体"/>
          <w:b/>
          <w:bCs/>
          <w:kern w:val="0"/>
          <w:sz w:val="24"/>
          <w:szCs w:val="24"/>
        </w:rPr>
        <w:t>步</w:t>
      </w:r>
    </w:p>
    <w:p>
      <w:pPr>
        <w:widowControl/>
        <w:jc w:val="left"/>
        <w:rPr>
          <w:rFonts w:ascii="宋体" w:hAnsi="宋体" w:eastAsia="宋体" w:cs="宋体"/>
          <w:kern w:val="0"/>
          <w:sz w:val="24"/>
          <w:szCs w:val="24"/>
        </w:rPr>
      </w:pPr>
      <w:r>
        <w:rPr>
          <w:rFonts w:ascii="宋体" w:hAnsi="宋体" w:eastAsia="宋体" w:cs="宋体"/>
          <w:b/>
          <w:bCs/>
          <w:kern w:val="0"/>
          <w:sz w:val="24"/>
          <w:szCs w:val="24"/>
        </w:rPr>
        <w:t>收入和税前扣除确认</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进入“收入和税前扣除”页面，系统自动归集2022年度您取得的工资薪金所得、劳务报酬所得、稿酬所得、特许权使用费所得以及费用、免税收入和各项税前扣除等数据，并预填到申报表相应栏次内。</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点击申报表对应项目栏，进入详情界面核对数据。</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58235" cy="61722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94564" cy="6232563"/>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注意！</w:t>
      </w:r>
      <w:r>
        <w:rPr>
          <w:rFonts w:ascii="宋体" w:hAnsi="宋体" w:eastAsia="宋体" w:cs="宋体"/>
          <w:b/>
          <w:bCs/>
          <w:color w:val="F57F17"/>
          <w:kern w:val="0"/>
          <w:sz w:val="24"/>
          <w:szCs w:val="24"/>
        </w:rPr>
        <w:t>奖金计税方式选择</w:t>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01</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 若2022年度有使用全年一次性奖金申报的奖金收入或央企负责人绩效薪金延期兑现收入和任期奖励，在工资薪金栏会显示“存在奖金，请在详情中进行确认”。</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90900" cy="682117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09303" cy="6858559"/>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02</w:t>
      </w:r>
    </w:p>
    <w:p>
      <w:pPr>
        <w:widowControl/>
        <w:jc w:val="left"/>
        <w:rPr>
          <w:rFonts w:hint="eastAsia"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 点击“存在奖金，请在详情中进行确认”进入“奖金计税选择”页面，根据个人收入及税前扣除情况，自行选择是否将奖金并入综合所得计税。</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若存在多笔奖金记录，可以选择其中一笔作为全年一次性奖金单独计税，其余并入综合所得计税，也可以选择全部并入综合所得计税。</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29025" cy="4217035"/>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0307" cy="4230436"/>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3190875" cy="36830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22377" cy="371958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核对后不需要修改数据</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若核对后没有需要修改的数据或需要调整的扣除项目，可直接点击【下一步】进入“第四步税款计算”操作。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143250" cy="651637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0714" cy="6552926"/>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kern w:val="0"/>
          <w:sz w:val="24"/>
          <w:szCs w:val="24"/>
        </w:rPr>
        <w:t>第</w:t>
      </w:r>
      <w:r>
        <w:rPr>
          <w:rFonts w:hint="eastAsia" w:ascii="宋体" w:hAnsi="宋体" w:eastAsia="宋体" w:cs="宋体"/>
          <w:b/>
          <w:bCs/>
          <w:kern w:val="0"/>
          <w:sz w:val="24"/>
          <w:szCs w:val="24"/>
        </w:rPr>
        <w:t>五</w:t>
      </w:r>
      <w:r>
        <w:rPr>
          <w:rFonts w:ascii="宋体" w:hAnsi="宋体" w:eastAsia="宋体" w:cs="宋体"/>
          <w:b/>
          <w:bCs/>
          <w:kern w:val="0"/>
          <w:sz w:val="24"/>
          <w:szCs w:val="24"/>
        </w:rPr>
        <w:t>步</w:t>
      </w:r>
    </w:p>
    <w:p>
      <w:pPr>
        <w:widowControl/>
        <w:jc w:val="left"/>
        <w:rPr>
          <w:rFonts w:ascii="宋体" w:hAnsi="宋体" w:eastAsia="宋体" w:cs="宋体"/>
          <w:kern w:val="0"/>
          <w:sz w:val="24"/>
          <w:szCs w:val="24"/>
        </w:rPr>
      </w:pPr>
      <w:r>
        <w:rPr>
          <w:rFonts w:ascii="宋体" w:hAnsi="宋体" w:eastAsia="宋体" w:cs="宋体"/>
          <w:b/>
          <w:bCs/>
          <w:kern w:val="0"/>
          <w:sz w:val="24"/>
          <w:szCs w:val="24"/>
        </w:rPr>
        <w:t>税款计算</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在“税款计算”页面，可查看应纳税额、减免税额、已缴税额，若要查看应纳税额计算详情，可点击综合所得应纳税额栏进入“综合所得应纳税额”页面进行查看。</w:t>
      </w: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ind w:firstLine="3373" w:firstLineChars="1400"/>
        <w:jc w:val="left"/>
        <w:rPr>
          <w:rFonts w:ascii="宋体" w:hAnsi="宋体" w:eastAsia="宋体" w:cs="宋体"/>
          <w:kern w:val="0"/>
          <w:sz w:val="24"/>
          <w:szCs w:val="24"/>
        </w:rPr>
      </w:pPr>
      <w:r>
        <w:rPr>
          <w:rFonts w:ascii="宋体" w:hAnsi="宋体" w:eastAsia="宋体" w:cs="宋体"/>
          <w:b/>
          <w:bCs/>
          <w:kern w:val="0"/>
          <w:sz w:val="24"/>
          <w:szCs w:val="24"/>
        </w:rPr>
        <w:t>减免税额</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若有符合条件的减免税事项在预扣预缴环节未享受，可以点击【减免税额】新增相关信息。确认结果后，点击【下一步】，提交申报。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652395" cy="549402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64362" cy="5518664"/>
                    </a:xfrm>
                    <a:prstGeom prst="rect">
                      <a:avLst/>
                    </a:prstGeom>
                    <a:noFill/>
                    <a:ln>
                      <a:noFill/>
                    </a:ln>
                  </pic:spPr>
                </pic:pic>
              </a:graphicData>
            </a:graphic>
          </wp:inline>
        </w:drawing>
      </w: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kern w:val="0"/>
          <w:sz w:val="24"/>
          <w:szCs w:val="24"/>
        </w:rPr>
      </w:pPr>
      <w:r>
        <w:rPr>
          <w:rFonts w:ascii="宋体" w:hAnsi="宋体" w:eastAsia="宋体" w:cs="宋体"/>
          <w:b/>
          <w:bCs/>
          <w:kern w:val="0"/>
          <w:sz w:val="24"/>
          <w:szCs w:val="24"/>
        </w:rPr>
        <w:t>第</w:t>
      </w:r>
      <w:r>
        <w:rPr>
          <w:rFonts w:hint="eastAsia" w:ascii="宋体" w:hAnsi="宋体" w:eastAsia="宋体" w:cs="宋体"/>
          <w:b/>
          <w:bCs/>
          <w:kern w:val="0"/>
          <w:sz w:val="24"/>
          <w:szCs w:val="24"/>
        </w:rPr>
        <w:t>六</w:t>
      </w:r>
      <w:r>
        <w:rPr>
          <w:rFonts w:ascii="宋体" w:hAnsi="宋体" w:eastAsia="宋体" w:cs="宋体"/>
          <w:b/>
          <w:bCs/>
          <w:kern w:val="0"/>
          <w:sz w:val="24"/>
          <w:szCs w:val="24"/>
        </w:rPr>
        <w:t>步</w:t>
      </w:r>
    </w:p>
    <w:p>
      <w:pPr>
        <w:widowControl/>
        <w:jc w:val="left"/>
        <w:rPr>
          <w:rFonts w:ascii="宋体" w:hAnsi="宋体" w:eastAsia="宋体" w:cs="宋体"/>
          <w:kern w:val="0"/>
          <w:sz w:val="24"/>
          <w:szCs w:val="24"/>
        </w:rPr>
      </w:pPr>
      <w:r>
        <w:rPr>
          <w:rFonts w:ascii="宋体" w:hAnsi="宋体" w:eastAsia="宋体" w:cs="宋体"/>
          <w:b/>
          <w:bCs/>
          <w:kern w:val="0"/>
          <w:sz w:val="24"/>
          <w:szCs w:val="24"/>
        </w:rPr>
        <w:t>办理退税或缴纳税款</w:t>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01</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若您存在多缴税款，可点击申请退税。</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819400" cy="5839460"/>
            <wp:effectExtent l="0" t="0" r="0" b="889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36025" cy="5874226"/>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2089785" cy="5238115"/>
            <wp:effectExtent l="0" t="0" r="5715" b="63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10321" cy="528969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714240" cy="73342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999" cy="734584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02</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810760" cy="7315200"/>
            <wp:effectExtent l="0" t="0" r="889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21670" cy="7331387"/>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如果您收入不足12万元且有应补税额，或是应补税额≤400元，申报提交后无需缴款，可点击【享受免申报】。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10000" cy="7724775"/>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821409" cy="7747311"/>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b/>
          <w:bCs/>
          <w:i/>
          <w:iCs/>
          <w:kern w:val="0"/>
          <w:sz w:val="24"/>
          <w:szCs w:val="24"/>
        </w:rPr>
        <w:t>03</w:t>
      </w:r>
    </w:p>
    <w:p>
      <w:pPr>
        <w:widowControl/>
        <w:ind w:firstLine="480"/>
        <w:jc w:val="left"/>
        <w:rPr>
          <w:rFonts w:ascii="宋体" w:hAnsi="宋体" w:eastAsia="宋体" w:cs="宋体"/>
          <w:kern w:val="0"/>
          <w:sz w:val="24"/>
          <w:szCs w:val="24"/>
        </w:rPr>
      </w:pPr>
      <w:r>
        <w:rPr>
          <w:rFonts w:ascii="宋体" w:hAnsi="宋体" w:eastAsia="宋体" w:cs="宋体"/>
          <w:kern w:val="0"/>
          <w:sz w:val="24"/>
          <w:szCs w:val="24"/>
        </w:rPr>
        <w:t>若您存在应补税额但不符合免于申报的情形，可点击【立即缴税】，完成缴税。</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81375" cy="708914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96604" cy="7121589"/>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4617720" cy="76200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27539" cy="7636203"/>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b/>
          <w:bCs/>
          <w:color w:val="FFB561"/>
          <w:kern w:val="0"/>
          <w:sz w:val="24"/>
          <w:szCs w:val="24"/>
        </w:rPr>
        <w:t>｜</w:t>
      </w:r>
      <w:r>
        <w:rPr>
          <w:rFonts w:ascii="宋体" w:hAnsi="宋体" w:eastAsia="宋体" w:cs="宋体"/>
          <w:b/>
          <w:bCs/>
          <w:kern w:val="0"/>
          <w:sz w:val="24"/>
          <w:szCs w:val="24"/>
        </w:rPr>
        <w:t>注意事项</w:t>
      </w:r>
      <w:r>
        <w:rPr>
          <w:rFonts w:ascii="宋体" w:hAnsi="宋体" w:eastAsia="宋体" w:cs="宋体"/>
          <w:b/>
          <w:bCs/>
          <w:color w:val="FFB561"/>
          <w:kern w:val="0"/>
          <w:sz w:val="24"/>
          <w:szCs w:val="24"/>
        </w:rPr>
        <w:t>｜</w:t>
      </w:r>
    </w:p>
    <w:p>
      <w:pPr>
        <w:widowControl/>
        <w:ind w:firstLine="480"/>
        <w:jc w:val="left"/>
        <w:rPr>
          <w:rFonts w:ascii="宋体" w:hAnsi="宋体" w:eastAsia="宋体" w:cs="宋体"/>
          <w:kern w:val="0"/>
          <w:sz w:val="24"/>
          <w:szCs w:val="24"/>
        </w:rPr>
      </w:pPr>
      <w:r>
        <w:rPr>
          <w:rFonts w:ascii="宋体" w:hAnsi="宋体" w:eastAsia="宋体" w:cs="宋体"/>
          <w:b/>
          <w:bCs/>
          <w:kern w:val="0"/>
          <w:sz w:val="24"/>
          <w:szCs w:val="24"/>
        </w:rPr>
        <w:t>1. 退税状态为税务审核中时，需先撤销退税后，才能更正或作废申报。</w:t>
      </w:r>
    </w:p>
    <w:p>
      <w:pPr>
        <w:widowControl/>
        <w:ind w:firstLine="480"/>
        <w:jc w:val="left"/>
        <w:rPr>
          <w:rFonts w:ascii="宋体" w:hAnsi="宋体" w:eastAsia="宋体" w:cs="宋体"/>
          <w:kern w:val="0"/>
          <w:sz w:val="24"/>
          <w:szCs w:val="24"/>
        </w:rPr>
      </w:pPr>
      <w:r>
        <w:rPr>
          <w:rFonts w:ascii="宋体" w:hAnsi="宋体" w:eastAsia="宋体" w:cs="宋体"/>
          <w:b/>
          <w:bCs/>
          <w:color w:val="26A69A"/>
          <w:kern w:val="0"/>
          <w:sz w:val="24"/>
          <w:szCs w:val="24"/>
        </w:rPr>
        <w:t>2. 退税状态为国库处理时，不能更正申报，需国库处理完毕后，才能更正申报。</w:t>
      </w:r>
    </w:p>
    <w:p>
      <w:pPr>
        <w:widowControl/>
        <w:ind w:firstLine="480"/>
        <w:jc w:val="left"/>
        <w:rPr>
          <w:rFonts w:hint="eastAsia" w:ascii="宋体" w:hAnsi="宋体" w:eastAsia="宋体" w:cs="宋体"/>
          <w:kern w:val="0"/>
          <w:sz w:val="24"/>
          <w:szCs w:val="24"/>
        </w:rPr>
      </w:pPr>
      <w:r>
        <w:rPr>
          <w:rFonts w:ascii="宋体" w:hAnsi="宋体" w:eastAsia="宋体" w:cs="宋体"/>
          <w:b/>
          <w:bCs/>
          <w:kern w:val="0"/>
          <w:sz w:val="24"/>
          <w:szCs w:val="24"/>
        </w:rPr>
        <w:t>3. 退税成功或缴款成功的申报记录不能作废，只能更正。</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PingFangTC-light">
    <w:altName w:val="Segoe Print"/>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F0"/>
    <w:rsid w:val="0010542E"/>
    <w:rsid w:val="002A1F49"/>
    <w:rsid w:val="0054363F"/>
    <w:rsid w:val="009765F9"/>
    <w:rsid w:val="00B63CC4"/>
    <w:rsid w:val="00F362F0"/>
    <w:rsid w:val="1F1F6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 w:type="character" w:styleId="6">
    <w:name w:val="Emphasis"/>
    <w:basedOn w:val="4"/>
    <w:qFormat/>
    <w:uiPriority w:val="20"/>
    <w:rPr>
      <w:i/>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999</Words>
  <Characters>1030</Characters>
  <Lines>8</Lines>
  <Paragraphs>2</Paragraphs>
  <TotalTime>32</TotalTime>
  <ScaleCrop>false</ScaleCrop>
  <LinksUpToDate>false</LinksUpToDate>
  <CharactersWithSpaces>1040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2023-04-06T01:45:00Z</dcterms:created>
  <dc:creator>Lenovo</dc:creator>
  <cp:lastModifiedBy>阳阳</cp:lastModifiedBy>
  <dcterms:modified xsi:type="dcterms:W3CDTF">2023-04-06T05:59:08Z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432F5081E2CC48E88CBFCEDCED778E1F_13</vt:lpwstr>
  </property>
</Properties>
</file>